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20 233 vom 22. Juli 2021</w:t>
      </w:r>
    </w:p>
    <w:p>
      <w:r>
        <w:t>VS Kantonsgericht, 2021-07-22, FR</w:t>
      </w:r>
    </w:p>
    <w:p>
      <w:r>
        <w:rPr>
          <w:b/>
        </w:rPr>
        <w:t xml:space="preserve">Quelle: </w:t>
      </w:r>
      <w:r>
        <w:t>https://mcp.opencaselaw.ch/entscheid/vs_gerichte_A1 20 233</w:t>
      </w:r>
    </w:p>
    <w:p>
      <w:r>
        <w:t>FR: VS_GERICHTE A1 20 233 du 22 juillet 2021</w:t>
      </w:r>
    </w:p>
    <w:p>
      <w:r>
        <w:t>IT: VS_GERICHTE A1 20 233 del 22 luglio 2021</w:t>
      </w:r>
    </w:p>
    <w:p>
      <w:pPr>
        <w:pStyle w:val="Heading2"/>
      </w:pPr>
      <w:r>
        <w:t>Regeste</w:t>
      </w:r>
    </w:p>
    <w:p>
      <w:r>
        <w:t>A1 20 233 ARRÊT DU 22 JUILLET 2021 Tribunal cantonal du Valais Cour de droit public Composition : Christophe Joris, président ; Jean-Bernard Fournier et Thomas Brunner, juges ; Tristan Maret, greffier en la cause X _________, recourant, représenté par Maître M _________ contre CONSEIL D'ETAT DU VALAIS, 1951 Sion, autorité attaquée (refus de délivrer un permis d’acquisition d’armes) recours de droit administratif contre la décision du 4 novembre 2020</w:t>
      </w:r>
    </w:p>
    <w:p>
      <w:pPr>
        <w:pStyle w:val="Heading2"/>
      </w:pPr>
      <w:r>
        <w:t>Erwägungen</w:t>
      </w:r>
    </w:p>
    <w:p>
      <w:r>
        <w:rPr>
          <w:b/>
        </w:rPr>
        <w:t>E. 1</w:t>
      </w:r>
    </w:p>
    <w:p>
      <w:r>
        <w:t>La décision de la police cantonale refusant de délivrer des permis d’acquisition d’armes (cf. art. 3 let. a de la loi d’application de la loi fédérale sur les armes les accessoires d’armes et les munitions du 22 septembre 1999 – LALArm ; RS/VS 502.1) peut faire l’objet d’un recours de droit administratif céans après son contrôle par le Conseil d’Etat (art. 72, 78 let. a, 80 al. 1 let. b-c, 43 al. 2 et 48 de la loi du 6 octobre 1976 sur la procédure et la juridiction administratives – LPJA ; RS/VS 172.6 ; cf. ACDP A1 16 110 du 25 août 2016 consid. 1). Le recours du 9 décembre 2020 est donc recevable, hormis sa conclusion n° 3 tendant à ce qu’il soit ordonné à la police cantonale de délivrer le permis d’acquisition d’armes requis le 10 novembre 2018 par le recourant. Une telle conclusion est, dans son principe, irrecevable. En effet, on rappellera qu’en vertu de l'effet dévolutif complet du recours administratif, la décision du Conseil d’Etat du 4 novembre 2020 statuant sur le recours administratif du 29 juillet 2020 s’est substituée de plein droit à celle de première instance (art. 47 al. 1, 60 al. 1 et 72 LPJA ; ACDP A1 20 128 du 20 mai 2021 consid. 1.3 ; Pierre Moor /Etienne Poltier, Droit administratif, Vol. II, 3e éd. 2011, p. 812). Elle est ainsi seule attaquable céans. La conclusion précitée ne pourra donc être examinée qu’en ce sens que les critiques faites à la police cantonale visaient en réalité le prononcé juridictionnel du 4 novembre 2020 du Conseil d’Etat (art. 72 LPJA). 2.1. Faisant usage d'un droit que la loi lui reconnaît (art. 80 al. 1 let. d, 56 al. 1 et 17 al.</w:t>
      </w:r>
    </w:p>
    <w:p>
      <w:r>
        <w:rPr>
          <w:b/>
        </w:rPr>
        <w:t>E. 2</w:t>
      </w:r>
    </w:p>
    <w:p>
      <w:r>
        <w:t>lettre b de l’ordonnance du 4 mars 2011 sur les contrôles de sécurité relatifs aux personnes (OCSP ; RS 104) – norme de droit fédéral qui prévoit que les militaires, les membres de la protection civile et les tiers ayant accès à des informations ou à du matériel classifiés secret sont soumis à un tel contrôle. Ce même document mentionne qu’aucune réserve liée à la sécurité n’a été émise. Par conséquent, une déclaration de sécurité au sens de l’article 22 alinéa 1 lettre a OCSP – règle qui prévoit que l’autorité chargée du contrôle rend une telle déclaration lorsque la personne contrôlée ne présente pas de risque particulier – pouvait être délivrée. Au vu de ces éléments, il est patent que le recourant ne se serait pas vu confier la fonction d’instructeur aux armes s’il avait dû représenter un quelconque risque dans le cadre du maniement et de l’instruction aux armes. À tout le moins, ni le bureau des armes ni le Conseil d’Etat n’ont apporté la preuve du contraire. L’on ajoutera d’ailleurs que l’article 113 alinéa 1 lettre a de la loi fédérale du 3 février 1995 sur l’armée et l’administration militaire (LAAM ; RS 510.10) – règle de droit fédéral qui prévoit qu’aucune arme personnelle ne peut être remise à un militaire si des signes ou des indices sérieux laissent présumer qu’il pourrait utiliser son arme personnelle d’une manière dangereuse pour lui-même ou pour des tiers – a la même teneur que l’article 8 alinéa 2 lettre c LArm. Comme ce deuxième texte a lui aussi été appliqué au recourant, on doit partir de l’idée que ses supérieurs militaires pensaient qu’il ne représentait pas un caractère dangereux au point qu’on doive lui refuser la possibilité d’avoir des armes. Cet aspect ne pouvait échapper successivement au GAES ainsi qu’au Conseil d’Etat. C’est donc à tort que le Conseil d’Etat n’a pas tenu compte de ces éléments dans le cadre de son analyse. Sur le vu de ce qui précède, force est de constater que le Conseil d’Etat a échoué à démontrer l’existence d’une mise en danger concrète et efficiente, condition pourtant requise pour l’application de l’article 8 alinéa 2 lettre c LArm. Le simple fait que le GAES disposait d’un large pouvoir d’appréciation pour refuser à l’intéressé le permis</w:t>
      </w:r>
    </w:p>
    <w:p>
      <w:r>
        <w:t>- 22 - d’acquisition d’armes qu’il demandait ne saurait y changer quoi que ce soit. La même conclusion s’impose en lien avec l’argument soulevé par l’instance précédente relativement au permis d’acquisition d’armes délivré le 15 novembre 2017 au recourant et avec l’autorisation d’acquisition exceptionnelle du 24 septembre 2018 – moyen selon lequel le recourant ne disposerait, de l’avis du Conseil d’Etat, pas d’un quelconque droit acquis à l’obtention de futurs permis d’acquisition d’armes. Pour les mêmes motifs, c’est aussi à tort que le Conseil d’Etat souligne que l’intérêt au maintien de la sécurité publique prévaudrait sur l’intérêt privé du recourant à l’obtention d’un nouveau permis d’acquisition d’armes. Le même raisonnement s’applique en lien avec le principe de proportionnalité dont se prévaut l’instance précédente dans le prononcé juridictionnel entrepris. Partant, bien fondé, le grief de violation de l’article 8 alinéa 2 lettre c LArm doit être admis. Point n’est donc besoin d’examiner les motifs sur lesquels s’est fondé le SRC pour justifier la participation du recourant au rassemblement qui s’était déroulé le 1er août 2015 à B _________, ni si X _________ entretient ou non des liens effectifs avec ces mouvements. Il en va de même de la question de savoir si ce dernier pouvait ou non ignorer l’interdiction de la tenue du rassemblement qui s’était tenu le 5 novembre 2016 à E _________.</w:t>
      </w:r>
    </w:p>
    <w:p>
      <w:r>
        <w:rPr>
          <w:b/>
        </w:rPr>
        <w:t>E. 2.2</w:t>
      </w:r>
    </w:p>
    <w:p>
      <w:r>
        <w:t>Le droit d'être entendu garanti par l'article 29 alinéa 2 de la Constitution fédérale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146 IV 218 consid. 3.1.1 et 145 I 167 consid. 4.1). Il ne comprend en revanche pas le droit d'obtenir l'audition de témoins (ATF</w:t>
      </w:r>
    </w:p>
    <w:p>
      <w:r>
        <w:t>- 12 - 130 II 425 consid. 2.1).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 140 I 285 consid. 6.3.1 et arrêt du Tribunal fédéral 2C_971/2020 du 5 août 2021 consid. 5.1).</w:t>
      </w:r>
    </w:p>
    <w:p>
      <w:r>
        <w:rPr>
          <w:b/>
        </w:rPr>
        <w:t>E. 2.3</w:t>
      </w:r>
    </w:p>
    <w:p>
      <w:r>
        <w:t>En l’occurrence, l’édition du dossier du Conseil d’Etat a été ordonnée d’office – et obtenue – le 17 décembre 2020 par la Cour de céans. La requête formulée par le recourant tendant à l’édition, par la Chancellerie d’Etat, « du dossier 175-19 » – qui correspond, en réalité, au dossier du Conseil d’Etat – se révèle donc satisfaite. Quant à celle tendant à l’édition des différents dossiers que l’on vient d’énumérer (cf. supra, considérant 2.1), elle est superflue, le dossier en possession du Tribunal cantonal étant suffisamment complet. En effet, il comprend notamment un exemplaire du rapport du SRC du 1er avril 2020 (cf. dossier du Conseil d’Etat, p. 82 s.), la correspondance adressée le 6 mars 2017 par le recourant à la police cantonale (cf. dossier du Conseil d’Etat, p. 91), les déterminations du 16 septembre 2019, du 30 septembre 2019 et du 22 avril 2020 rédigées par le recourant à l’attention de la Chancellerie d’Etat (cf. dossier du Conseil d’Etat, p. 75, p. 78 et p. 86 ss), un exemplaire du permis d’acquisition d’armes octroyé le 15 novembre 2017 (cf. dossier du Conseil d’Etat, p. 58) ainsi que de l’autorisation d’acquisition exceptionnelle du 24 septembre 2018 portant sur un pistolet mitrailleur de marque et modèle « xxx » de calibre de 9 millimètres portant le numéro de série no xxx (cf. dossier du Conseil d’Etat p. 56), la décision de la police cantonale du 27 juin 2019 refusant le permis d’acquisition d’armes demandé le 10 novembre 2018 par le recourant (cf. dossier du Conseil d’Etat, p. 54 s.), une copie de l’étude parue dans la revue « K _________ » de l’Institut de police scientifique et de criminologie (IPSC) de l’Université de Lausanne (UNIL) du mois de juin 2001 (cf. dossier du Conseil d’Etat, p. 100 ss), le rapport de conduite du 9 novembre 2020 établi par le DDPS et la déclaration de sécurité du 10 novembre 2020 rédigé par le Service spécialisé des contrôles de sécurité du DDPS (cf. dossier du Conseil d’Etat, p. 115). En ce qui concerne la demande du recourant tendant à ce que le SRC se détermine sur la correspondance du 22 avril 2020, elle également inutile, pour les motifs qui vont suivre (cf. infra, considérant 3.2). 3.1. Dans un premier grief d’ordre formel, le recourant se plaint d’une violation de son droit d’être entendu, plus particulièrement de son droit à l’administration des preuves pertinentes. D’après lui, ce serait à tort que le Conseil d’Etat n’aurait pas ordonné l’édition, par le GAES, des dossiers ayant abouti à la délivrance du permis d’acquisition</w:t>
      </w:r>
    </w:p>
    <w:p>
      <w:r>
        <w:t>- 13 - d’armes du 15 novembre 2017 respectivement à l’octroi de l’autorisation d’acquisition exceptionnelle du 24 septembre 2018. À bien le comprendre, ces pièces démontreraient que tant l’ancien bureau des armes que le GAES étaient déjà informés des événements du 1er août 2015 et du 5 novembre 2016 lorsqu’ils avaient délivré le permis d’acquisition d’armes du 15 novembre 2017 et l’autorisation d’acquisition exceptionnelle du 24 septembre 2018, si bien que ce motif ne pouvait être qualifié de pertinent pour refuser le permis d’acquisition d’armes demandé le 10 novembre 2018 par le recourant pour le pistolet de marque et modèle xxx » portant le numéro de série xxx, respectivement le pistolet mitrailleur de marque et modèle « xxx », de numéro de série xxx. Dans son mémoire de recours de droit administratif du 9 décembre 2020, le recourant se plaint encore d’un défaut de motivation, le Conseil d’Etat n’ayant, selon lui, pas tenu compte des arguments figurant dans sa détermination du 22 avril 2020 relative au rapport du SRC du 1er avril 2020, procédé qui, de son avis, serait aussi constitutif d’une violation du principe de transparence consacré aux articles 12 et suivants LIPDA. 3.2. En l’espèce, le Conseil d’Etat disposait du rapport du SRC du 1er avril 2020, document dans lequel cette autorité alléguait que le recourant avait participé aux deux rassemblements qui s’étaient respectivement déroulés le 1er août 2015 à B _________, respectivement le 5 novembre 2016 à E _________. Ainsi, l’instance précédente pouvait légitimement se passer d’ordonner l’édition du dossier afférent à la délivrance du permis d’acquisition d’armes du 15 novembre 2017, respectivement de celui relatif à l’octroi de l’autorisation d’acquisition exceptionnelle du 24 septembre 2018, quand bien même ces autorisations étaient antérieures au permis d’acquisition d’armes demandé le 10 novembre 2018 par le recourant. La question de la force probante du rapport du SRC du 1er avril 2020, respectivement celle de savoir si l’ancien bureau des armes et le GAES étaient ou non informés des événements du 1er août 2015 et du 5 novembre 2016 lorsqu’ils avaient délivré le permis d’acquisition d’armes du 15 novembre 2017, respectivement l’autorisation d’acquisition exceptionnelle du 24 septembre 2018, relève du fond de l’affaire. Il en va de même du rôle que pourrait jouer cet élément sur le sort de la cause. Ces aspects feront donc l’objet d’un examen ultérieur (cf. infra, considérant 5.3). Aucune violation du droit d’être entendu du recourant n’est donc à déplorer sur ce point. En ce qui concerne les griefs soulevés dans la détermination du 22 avril 2020, l’on fera les remarques suivantes : d’abord, en lien avec l’argument du recourant selon lequel ce dernier n’avait commis aucune infraction en participant à l’événement du 5 novembre 2016 à E _________, étant donné que cette réunion n’avait été interdite que sur territoire</w:t>
      </w:r>
    </w:p>
    <w:p>
      <w:r>
        <w:t>- 14 - C _________, on remarque que l’instance précédente n’a jamais considéré que la participation à cet événement constituait une quelconque infraction, mais a simplement pris en compte cet élément dans le cadre de l’examen de l’article 8 alinéa 2 lettre c LArm. L’on ne saurait donc en déduire que ce grief n’aurait pas été suffisamment considéré. Dans sa détermination du 22 avril 2020, le recourant a aussi souligné qu’il n’était pas possible de déterminer sur quels éléments le SRC s’était fondé pour prétendre qu’il entretenait des liens étroits avec les milieux d’extrême-droite. Or, dans le prononcé juridictionnel entrepris, le Conseil d’Etat s’est clairement référé au rapport du SRC du 1er avril 2020, lequel soulignait que le fait que X _________ avait eu accès à la localisation des réunions du 1er août 2015 et du 5 novembre 2016 démontrait bien qu’il entretenait des liens avec les milieux d’extrême-droite, les informations relatives à la tenue des réunions organisées par les membres de ces mouvements était tenues secrètes jusqu’au dernier moment et n’étant communiquées qu’aux seuls membres « renommés et bien ancrés » dans ces milieux. L’on ne saurait donc déplorer la moindre violation du droit d’être entendu du recourant sur ce point, étant souligné, pour le surplus, que le rapport précité a été porté à sa connaissance par ordonnance du SAJ du 7 avril 2020. Il est vrai que le Conseil d’Etat n’a pas expressément répondu à la remarque du recourant selon laquelle le SRC était arrivé à la conclusion que le précité n’avait pas commis ni encouragé la commission d’actes violents. Toutefois, l’instance précédente s’est simplement fondée sur la participation du recourant aux événements du 1er août 2015 et du 5 novembre 2016 pour en déduire que ce dernier entretenait des liens avec les milieux d’extrême-droite et que son comportement ne s’harmonisait pas avec les réquisits de l’article 8 alinéa 2 lettre c LArm. Point n’était donc besoin d’analyser la question de savoir s’il avait ou non commis ou encouragé de quelconques actes violents, si bien que le Conseil d’Etat pouvait, par appréciation anticipée, se passer d’examiner ce grief (ATF 144 II 427 consid. 3.1.3 ; 141 I 60 consid. 3.3 ; 138 III 374 consid. 4.3.2 ; arrêts du Tribunal fédéral 2D_3/2021 du 14 avril 2021 consid. 3.1 et 2C_112/2020 du 9 juin 2020 consid. 3.1). Aucune violation du droit d’être entendu n’est donc à déplorer sur ce point. Le recourant se plaint encore du fait que le Conseil d’Etat n’aurait pas tenu compte de son grief selon lequel le rapport du SRC sur la sécurité de la Suisse pour l’année 2019 ne ferait pas état du mouvement « A _________ ». Or, dans son prononcé administratif du 4 novembre 2020, le Conseil d’Etat a souligné que le SRC avait désigné ce mouvement par l’expression « groupes d’extrême-droite », respectivement « milieux d’extrême-droite » et que les adeptes de cette idéologie faisaient l’objet d’une attention</w:t>
      </w:r>
    </w:p>
    <w:p>
      <w:r>
        <w:t>- 15 - toute particulière de la part du SRC, ce pour des motifs d’ordre sécuritaire. L’on ne voit donc non plus pas en quoi le Conseil d’Etat n’aurait pas examiné ce moyen. Quant aux hypothétiques imprécisions relevées par le recourant en lien avec les expressions « ces milieux », « membre », « renommé », « bien ancré », « liens étroits » et « les milieux d’extrême-droite violents », l’on soulignera que le Conseil d’Etat a aussi tenu compte de ces critiques, puisqu’il a décrit le mouvement « A _________ » sur près de deux paragraphes en pages 7 et 8 du prononcé juridictionnel entrepris, se référant notamment à l’étude rédigée par les professeurs I _________ et J _________ publiée dans la revue « K _________ » parue au mois de juin 2001 ainsi qu’à l’encyclopédie « Wikipedia » disponible sur Internet. L’instance précédente a notamment exposé que le mouvement « A _________ » était une idéologie néonazie et raciste notamment présente en Suisse et fédérant les « L _________ » sous la bannière hitlérienne et faisant passer leur message par la violence. Ainsi, le recourant était parfaitement à même de saisir la portée des termes « membres » et « milieux d’extrême-droite violents » utilisés par le SRC dans son rapport du 1er avril 2020. Enfin, le rapport du SRC du 1er avril 2020 expose clairement que X _________ a été considéré comme un « membre renommé et bien ancré » des milieux d’extrême-droite puisque, comme on l’a vu, il a fait partie des rares personnes à qui la localisation des rassemblements du 1er août 2015 et du 5 novembre 2016 a été communiquée. Ainsi, le recourant ne saurait se plaindre du fait que les expressions « membre renommé », respectivement « bien ancré » seraient inexactes ou imprécises et qu’il n’en comprendrait donc pas la portée. Quant à la remarque selon laquelle le Conseil d’Etat n’aurait pas expressément motivé sur quelle base le SRC avait pu retenir que le recourant avait participé à l’événement organisé le 1er août 2015 à B _________, l’on répondra que, comme on le verra plus loin, ce dernier n’a jamais répondu aux interrogations formulées par le SAJ dans le cadre de l’instruction en lien avec cette question, alors que cette obligation lui incombait (cf. infra, considérant 4.3). Ce dernier ne saurait donc se plaindre d’un défaut de motivation sur ce point. Au surplus, et comme le souligne à juste titre le Conseil d’Etat dans le prononcé administratif entrepris, le recourant a été à même de déférer par mémoire de recours de droit administratif du 9 décembre 2020 le prononcé juridictionnel du 4 novembre 2020 devant la Cour de céans, qui dispose d’un plein pouvoir d’examen (art 78 let. a LPJA ; ACDP A1 20 52 du 7 mai 2021 consid. 2.3 et A1 20 113 du 17 février 2021 consid. 3). Aucune violation du droit d’être entendu de l’intéressé n’est donc à déplorer sous cet angle. Point n’est donc besoin de donner suite à la requête du recourant tendant à ce</w:t>
      </w:r>
    </w:p>
    <w:p>
      <w:r>
        <w:t>- 16 - que le SRC soit invité à se déterminer sur le contenu de la correspondance du recourant du 22 avril 2020, le dossier étant, on l’a vu (cf. supra, considérant 2.3) suffisamment complet. Enfin, on soulignera qu’en demandant « l’édition de tous les éléments susceptibles de documenter les accusations portées par le GAES en relation avec les événements des 1er août 2015 et 5 novembre 2016 », le recourant n’énonce pas à quelles pièces il fait référence. Un tel procédé n’est pas conforme aux réquisits de motivation contenus aux articles 80 alinéa 1 lettre c et 48 alinéa 2 LPJA. Il en va de même des remarques du recourant selon lesquelles le raisonnement du Conseil d’Etat violerait les articles 12 et suivants LIPDA, respectivement selon lesquelles le dossier serait « incomplet, voire tronqué ». Partant, mal fondé, le grief de violation du droit d’être entendu est rejeté dans la mesure de sa recevabilité. 4.1. Dans un second grief, le recourant se plaint d’une violation de la maxime inquisitoire. Il reproche au Conseil d’Etat d’avoir procédé à une inversion du fardeau de la preuve en lui reprochant de ne pas avoir suffisamment collaboré à l’établissement des faits pertinents. 4.2. À l’article 18 alinéa 1 lettre a LPJA, on lit que les parties sont tenues de collaborer à la constatation des faits dans une procédure qu’elles introduisent elles-mêmes. Selon l’alinéa 2 de cette disposition, si la procédure ne présente pas un intérêt public et si la partie refuse sa collaboration, l'autorité l'informe que la décision sera prise sur la base du dossier sans investigation complémentaire. Selon la jurisprudence, la maxime inquisitoire, qui prévaut en particulier en droit public, commande à l'autorité de définir les faits pertinents et de tenir pour existants seulement ceux qui sont dûment prouvés.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arrêts du Tribunal fédéral 2C_728/2020 du 25 février 2021 consid. 4.1 ; 2C_416/2013 du 5 novembre 2013 consid. 10.2.2 et 2C_84/2012 du 15 décembre 2012 consid. 3.1). Il leur incombe d'étayer leurs propres thèses, de renseigner le juge sur les faits de la cause et de lui indiquer les moyens de preuves disponibles (ATF 140 I 285 consid. 6.3.1 ; 128 III 411 consid. 3.2.1), spécialement lorsqu'il s'agit d'élucider des faits qu'elles sont le mieux à même de connaître, respectivement des faits qui relèvent de leur sphère d'influence (cf. arrêts du Tribunal fédéral 1C_266/2015 du 20 juin 2016 consid. 3.1.2 et 1C_582/2012 du 9 juillet</w:t>
      </w:r>
    </w:p>
    <w:p>
      <w:r>
        <w:t>- 17 - 2013 consid. 3.1). La jurisprudence considère à cet égard que le devoir de collaboration des parties à l'établissement des faits est spécialement élevé s'agissant de faits que celles-ci connaissent mieux que quiconque (arrêts du Tribunal fédéral 2C_284/2019 du 16 septembre 2019 consid. 4.3 et 1C_426/2017 du 11 mars 2019 consid. 5.3 et les références citées).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(cf. ATF 140 I 285 précité consid. 6.3.1 ; arrêts du Tribunal fédéral 2C_74/2021 du 26 juillet 2021 consid. 9.2 ; 1C_9611/2020 du 10 mai 2021 consid. 2.3). 4.3. En l’occurrence, il est vrai que, dans ses courriers du 16 septembre 2019 et du 30 septembre 2019, le recourant n’a pas répondu aux demandes du SAJ du 2 septembre 2019 et du 23 septembre 2019 lui demandant de se déterminer sur sa participation aux événements du 1er août 2015 et du 5 novembre 2016. En effet, dans sa détermination du 16 septembre 2019, il s’est limité à se plaindre d’une violation de son droit d’être entendu, réclamant à nouveau la production des documents permettant de documenter les éléments qui pouvaient être retenus à sa charge et a demandé à ce qu’il soit statué en l’état sur le dossier litigieux (cf. dossier du Conseil d’Etat, p. 75). Dans sa lettre du 30 septembre 2019, le recourant a souligné qu’il s’en tenait aux éléments mis en évidence dans sa correspondance du 16 septembre 2019. Au surplus, il contestait représenter « un risque quelconque pour la sécurité publique ou pour la sécurité de l’Etat », se référant, au surplus, à « son engagement professionnel, sans faille, comme militaire de carrière au service de notre pays et de sa sécurité ». Toutefois, en ce qui concerne le rassemblement qui s’est déroulé le 5 novembre 2016 à E _________, le recourant a reconnu, dans sa missive du 6 mars 2017 adressée à l’ancien bureau des armes et rédigée dans le cadre de la procédure d’octroi du permis d’acquisition d’armes du 15 novembre 2017, avoir participé à cet événement, sur proposition de l’une de ses connaissances, exposant n’avoir été informé qu’une fois sur place de l’interdiction qui avait été prononcée contre ce rassemblement. Il a également admis avoir quitté les lieux avec la personne qui l’accompagnait après s’être entretenu avec un agent de la police judiciaire qui avait procédé à un contrôle de son identité. Il a également réitéré ces aveux dans son mémoire de recours de droit administratif du 9 décembre 2020. L’on ne saurait donc lui reprocher un manquement à son devoir de collaborer sur ce point.</w:t>
      </w:r>
    </w:p>
    <w:p>
      <w:r>
        <w:t>- 18 - Il en va en revanche différemment de la réunion qui s’est déroulée le 1er août 2015 à B _________. D’abord, le recourant n’a pas clairement indiqué, dans ses écritures du 16 septembre 2019 et du 30 septembre 2019, s’il y avait ou non participé. Ensuite, dans sa détermination du 22 avril 2020 relative au rapport du SRC du 22 avril 2020, l’intéressé a souligné que le rapport du SRC du 1er avril 2020 n’indiquait pas précisément et concrètement de quelle manière il aurait été informé de la tenue du rassemblement du 1er août 2015, si ce n’était par une référence « générale et abstraite » aux réseaux sociaux. Il a également souligné n’avoir fait, à cette occasion, l’objet d’aucun contrôle d’identité, si bien que l’on ignorait sur quelle base le SRC avait pu affirmer qu’il avait été présent sur place ce jour-là. Sur le vu de ce qui précède, force est de constater que le recourant n’a effectivement pas répondu à la question qui lui était posée et tendant à déterminer s’il était ou non présent au rassemblement qui s’était déroulé le 1er août 2015 à B _________. Force est donc de constater que l’intéressé ne s’est pas conformé, sur ce point, à l’obligation de collaborer qui lui incombait alors que, comme le relève à juste titre l’instance précédente, la présente procédure visant à l’octroi d’un permis d’acquisition d’armes a été ouverte de sa propre initiative et dans son seul intérêt. Ainsi, le recourant ne saurait se prévaloir de la maxime inquisitoire pour pallier cette irrégularité, respectivement du fait qu’il serait « arbitraire d’exiger d’un citoyen […] qu’il fasse la preuve de son « innocence » d’accusations non documentées formulées par le SRC ». Sous cet angle, il ne saurait non plus se plaindre d’une inversion du fardeau de la preuve, au motif qu’il incomberait exclusivement à l’autorité administrative d’établir les faits à l’origine de la restriction d’un droit. Partant, c’est à bon droit que le Conseil d’Etat a pointé une violation de l’obligation de collaborer sur ce point, ce d’autant plus que, dans ses deux ordonnances du 2 septembre 2019 et du 23 septembre 2019, le SAJ avait expressément informé le recourant qu’à défaut d’information à ce sujet, il statuerait en l’état du dossier, sans procéder à une quelconque investigation complémentaire. Partant, le grief de violation de la maxime inquisitoire doit être rejeté. 5.1. Le recourant se plaint encore d’une violation de l’article 8 alinéa 2 lettre c LArm. À le lire, ni la police cantonale ni le Conseil d’Etat n’auraient concrètement démontré qu’il serait susceptible d’utiliser de manière dangereuse pour lui-même ou pour autrui les armes à feu ayant fait l’objet de la demande de permis d’acquisition d’armes du 10 novembre 2018. De plus, il ne serait pas possible de déterminer sur quelle base le SRC pouvait affirmer que le recourant avait participé à l’événement qui s’était déroulé le 1er août 2015 à B _________. Cette autorité n’aurait non plus pas démontré que le recourant</w:t>
      </w:r>
    </w:p>
    <w:p>
      <w:r>
        <w:t>- 19 - entretenait effectivement des liens étroits avec les milieux d’extrême-droite. D’ailleurs, le recourant ignorerait l’existence de l’interdiction qui avait été prononcée en lien avec la manifestation qui s’était tenue le 5 novembre 2016 à E _________ à laquelle il avait participé. L’intéressé s’est aussi plaint d’une violation du principe de proportionnalité et de l’interdiction d’arbitraire, soulignant encore une fois que les événements du 1er août 2015 et du 5 novembre 2016 étaient antérieurs à la délivrance du permis d’acquisition d’armes du 15 novembre 2017, respectivement à l’octroi de l’autorisation d’acquisition exceptionnelle du 24 septembre 2018. Ces éléments ne pouvaient donc justifier le refus du permis d’acquisition d’armes ayant fait l’objet de la demande du 10 novembre 2018, puisque l’octroi de cette autorisation présupposerait des contrôles de sécurité d’une nature similaire à ceux effectués par l’ancien bureau des armes et par le GAES dans le cadre des procédures afférentes au permis d’acquisition d’armes du 15 novembre 2017, respectivement à l’autorisation d’acquisition exceptionnelle du 24 septembre 2018. Le recourant s’est encore prévalu de ses bons états de service militaire en lien avec sa fonction d’officier de carrière comprenant notamment la charge de l’instruction aux armes. Dans ce même contexte, il a précisé avoir fait l’objet d’un contrôle de sécurité extrêmement serré dans le courant du mois de novembre 2020, mesure qui avait d’ailleurs débouché sur la délivrance d’un rapport le confirmant dans la fonction qu’il exerçait auprès de l’armée de notre pays. 5.2. L’article 8 alinéa 2 lettre c LArm dispose qu’aucun permis d’acquisition d’armes n’est délivré aux personnes dont il y a lieu de craindre qu’elles utilisent l’arme d’une manière dangereuse pour elles-mêmes ou pour autrui. Selon la jurisprudence, les conditions de l'article 8 alinéa 2 LArm sont notamment réunies en la présence de personnes atteintes dans leur santé psychique ou mentale, de personnes souffrant d'alcoolisme ou présentant des tendances suicidaires, notamment en raison de souffrances physiques. Est déterminant le comportement global respectivement l'état psychique instable de la personne concernée (arrêts du Tribunal fédéral 2C_1163/2014 du 18 mai 2015 consid. 3.3 ; 2C_469/2010 du 11 octobre 2010 consid. 3.6 ; 2C_93/2007 du 3 septembre 2007 consid.5.2 ; 2A_546/2004 du 4 février 2005 consid. 3.1 ; arrêt du Tribunal administratif zurichois VB.2012.00506 du 8 novembre 2012 consid. 3.1). L'autorité cantonale dispose d'un large pouvoir d'appréciation lorsqu'il s'agit d'évaluer le danger lié à l'utilisation d'une arme (cf. art. 8 al.</w:t>
      </w:r>
    </w:p>
    <w:p>
      <w:r>
        <w:rPr>
          <w:b/>
        </w:rPr>
        <w:t>E. 6</w:t>
      </w:r>
    </w:p>
    <w:p>
      <w:r>
        <w:t>Le recours doit être admis au sens du considérant 5.3. En particulier, le Conseil d’Etat devra procéder à un examen plus précis du caractère concret de la mise en danger sous l’angle de l’article 8 alinéa 2 lettre c LArm. Le permis d’acquisition d’armes du 10 novembre 2018 devra être délivré à X _________ pour autant que les autres conditions légales soient remplies. En conséquence, le prononcé attaqué est annulé et l’affaire est renvoyée au Conseil d’Etat pour nouvelle décision après que l’instruction ait été complétée dans toute la mesure utile (art. 80 al. 1 let. e et 60 al. 1 LPJA). 7.1. Les frais sont remis (art. 89 al. 4 LPJA). 7.2. Le recourant, qui obtient gain de cause et a pris une conclusion dans ce sens, a droit à des dépens (art. 91 al. 1 LPJA) pour la procédure de recours de droit administratif (art. 37 et 39 de la loi fixant le tarif des frais et dépens devant les autorités judiciaires ou administratives du 11 février 2009 [LTar ; RS/VS 173.8]). Sur le vu du travail réalisé par son avocat, qui a consisté principalement en la rédaction du recours de droit administratif du</w:t>
      </w:r>
    </w:p>
    <w:p>
      <w:r>
        <w:rPr>
          <w:b/>
        </w:rPr>
        <w:t>E. 9</w:t>
      </w:r>
    </w:p>
    <w:p>
      <w:r>
        <w:t>décembre 2020 (4 annexes) et du courrier du 25 janvier 2021, le juge de céans fixe les dépens du recourant (à plein tarif et en l’absence de décompte LTar) à 1800 fr. (débours [les copies étant calculées à 50 cts l’unité ; cf. ATF 118 Ib 349 consid. 5a] et TVA compris ;</w:t>
      </w:r>
    </w:p>
    <w:p>
      <w:r>
        <w:t>- 23 - cf. art. 4 al. 3, 27 al. 1, 37 al. 2 et 39 LTar). L’État du Valais versera donc à X _________ 1800 fr. (art. 91 al. 1 et 2 LPJA). Au surplus, il incombera au Conseil d’Etat de statuer sur les frais et dépens de la décision qu’il rendra en exécution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